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FE2AB" w14:textId="0EA87B82" w:rsidR="00C92C0E" w:rsidRPr="00C92C0E" w:rsidRDefault="00C92C0E" w:rsidP="00C92C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18"/>
          <w:szCs w:val="20"/>
          <w:lang w:val="uk-UA"/>
        </w:rPr>
      </w:pPr>
      <w:r>
        <w:rPr>
          <w:rFonts w:ascii="Times New Roman" w:hAnsi="Times New Roman" w:cs="Times New Roman"/>
          <w:sz w:val="18"/>
          <w:szCs w:val="20"/>
          <w:lang w:val="uk-UA"/>
        </w:rPr>
        <w:t xml:space="preserve">  </w:t>
      </w:r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Додаток </w:t>
      </w:r>
      <w:r>
        <w:rPr>
          <w:rFonts w:ascii="Times New Roman" w:hAnsi="Times New Roman" w:cs="Times New Roman"/>
          <w:sz w:val="18"/>
          <w:szCs w:val="20"/>
          <w:lang w:val="uk-UA"/>
        </w:rPr>
        <w:t>10</w:t>
      </w:r>
    </w:p>
    <w:p w14:paraId="54E796BB" w14:textId="77777777" w:rsidR="00C92C0E" w:rsidRPr="00C92C0E" w:rsidRDefault="00C92C0E" w:rsidP="00C92C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18"/>
          <w:szCs w:val="20"/>
          <w:lang w:val="uk-UA"/>
        </w:rPr>
      </w:pPr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              до договору </w:t>
      </w: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споживача</w:t>
      </w:r>
      <w:proofErr w:type="spellEnd"/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про </w:t>
      </w: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надання</w:t>
      </w:r>
      <w:proofErr w:type="spellEnd"/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</w:t>
      </w:r>
    </w:p>
    <w:p w14:paraId="538E7141" w14:textId="77777777" w:rsidR="00C92C0E" w:rsidRPr="00C92C0E" w:rsidRDefault="00C92C0E" w:rsidP="00C92C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18"/>
          <w:szCs w:val="20"/>
          <w:lang w:val="uk-UA"/>
        </w:rPr>
      </w:pP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послуг</w:t>
      </w:r>
      <w:proofErr w:type="spellEnd"/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з </w:t>
      </w: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розподілу</w:t>
      </w:r>
      <w:proofErr w:type="spellEnd"/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</w:t>
      </w: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електричної</w:t>
      </w:r>
      <w:proofErr w:type="spellEnd"/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</w:t>
      </w:r>
      <w:proofErr w:type="spellStart"/>
      <w:r w:rsidRPr="00C92C0E">
        <w:rPr>
          <w:rFonts w:ascii="Times New Roman" w:hAnsi="Times New Roman" w:cs="Times New Roman"/>
          <w:sz w:val="18"/>
          <w:szCs w:val="20"/>
          <w:lang w:val="uk-UA"/>
        </w:rPr>
        <w:t>енергії</w:t>
      </w:r>
      <w:proofErr w:type="spellEnd"/>
    </w:p>
    <w:p w14:paraId="1A9BA4FB" w14:textId="10A43C00" w:rsidR="00C92C0E" w:rsidRPr="00C92C0E" w:rsidRDefault="00C92C0E" w:rsidP="00C92C0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18"/>
          <w:szCs w:val="20"/>
          <w:lang w:val="uk-UA"/>
        </w:rPr>
      </w:pPr>
      <w:r w:rsidRPr="00C92C0E">
        <w:rPr>
          <w:rFonts w:ascii="Times New Roman" w:hAnsi="Times New Roman" w:cs="Times New Roman"/>
          <w:sz w:val="18"/>
          <w:szCs w:val="20"/>
          <w:lang w:val="uk-UA"/>
        </w:rPr>
        <w:t>№ _____</w:t>
      </w:r>
      <w:r>
        <w:rPr>
          <w:rFonts w:ascii="Times New Roman" w:hAnsi="Times New Roman" w:cs="Times New Roman"/>
          <w:sz w:val="18"/>
          <w:szCs w:val="20"/>
          <w:lang w:val="uk-UA"/>
        </w:rPr>
        <w:t>_______</w:t>
      </w:r>
      <w:r w:rsidRPr="00C92C0E">
        <w:rPr>
          <w:rFonts w:ascii="Times New Roman" w:hAnsi="Times New Roman" w:cs="Times New Roman"/>
          <w:sz w:val="18"/>
          <w:szCs w:val="20"/>
          <w:lang w:val="uk-UA"/>
        </w:rPr>
        <w:t xml:space="preserve"> від «____» _________ 202__ р.</w:t>
      </w:r>
    </w:p>
    <w:p w14:paraId="534C7D76" w14:textId="77777777" w:rsidR="000A016E" w:rsidRDefault="000A016E" w:rsidP="000A016E">
      <w:pPr>
        <w:tabs>
          <w:tab w:val="left" w:pos="0"/>
          <w:tab w:val="left" w:pos="263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szCs w:val="24"/>
          <w:lang w:val="uk-UA" w:eastAsia="uk-UA"/>
        </w:rPr>
        <w:tab/>
      </w:r>
    </w:p>
    <w:p w14:paraId="1E357F0A" w14:textId="77777777" w:rsidR="00C92C0E" w:rsidRDefault="00C92C0E" w:rsidP="00C92C0E">
      <w:pPr>
        <w:tabs>
          <w:tab w:val="left" w:pos="0"/>
          <w:tab w:val="left" w:pos="263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  <w:r w:rsidRPr="00C92C0E">
        <w:rPr>
          <w:rFonts w:ascii="Times New Roman" w:eastAsia="Times New Roman" w:hAnsi="Times New Roman" w:cs="Times New Roman"/>
          <w:b/>
          <w:szCs w:val="24"/>
          <w:lang w:val="uk-UA" w:eastAsia="uk-UA"/>
        </w:rPr>
        <w:t xml:space="preserve">Порядок (алгоритм) розрахунку та складення балансу електричної енергії в електричних </w:t>
      </w:r>
    </w:p>
    <w:p w14:paraId="3875F78D" w14:textId="29543301" w:rsidR="00F715CB" w:rsidRDefault="00C92C0E" w:rsidP="00C92C0E">
      <w:pPr>
        <w:tabs>
          <w:tab w:val="left" w:pos="0"/>
          <w:tab w:val="left" w:pos="263"/>
          <w:tab w:val="center" w:pos="5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  <w:r w:rsidRPr="00C92C0E">
        <w:rPr>
          <w:rFonts w:ascii="Times New Roman" w:eastAsia="Times New Roman" w:hAnsi="Times New Roman" w:cs="Times New Roman"/>
          <w:b/>
          <w:szCs w:val="24"/>
          <w:lang w:val="uk-UA" w:eastAsia="uk-UA"/>
        </w:rPr>
        <w:t>мережах споживача (технологічних електричних мережах основного споживача)</w:t>
      </w:r>
    </w:p>
    <w:p w14:paraId="20A6B457" w14:textId="77777777" w:rsidR="000A016E" w:rsidRPr="000A016E" w:rsidRDefault="000A016E" w:rsidP="000A016E">
      <w:pPr>
        <w:tabs>
          <w:tab w:val="left" w:pos="0"/>
          <w:tab w:val="left" w:pos="263"/>
          <w:tab w:val="center" w:pos="5102"/>
        </w:tabs>
        <w:spacing w:after="0" w:line="240" w:lineRule="auto"/>
        <w:rPr>
          <w:rFonts w:ascii="Times New Roman" w:eastAsia="Times New Roman" w:hAnsi="Times New Roman" w:cs="Times New Roman"/>
          <w:b/>
          <w:szCs w:val="24"/>
          <w:lang w:val="uk-UA" w:eastAsia="uk-UA"/>
        </w:rPr>
      </w:pPr>
    </w:p>
    <w:p w14:paraId="36613876" w14:textId="77777777" w:rsidR="00F715CB" w:rsidRPr="000A016E" w:rsidRDefault="00F715CB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>1. Споживач електричної енергії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,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 у разі передачі електричної енергії в електричні мережі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,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зобов’язаний  забезпечити складення балансу електричної енергії у власних електричних мережах для проведення комерційних розрахунків.</w:t>
      </w:r>
    </w:p>
    <w:p w14:paraId="4ABFCBF3" w14:textId="77777777" w:rsidR="00F715CB" w:rsidRPr="000A016E" w:rsidRDefault="00F715CB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2. Обсяг електричної енергії, спожитої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поживачем (основним споживачем) та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субспоживачами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визначається в залежності від схеми приєднання вузлів обліку електричної енергії з урахуванням втрат електричної енергії в мережах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>поживача (основного споживача).</w:t>
      </w:r>
    </w:p>
    <w:p w14:paraId="3B001540" w14:textId="77777777" w:rsidR="00F715CB" w:rsidRPr="000A016E" w:rsidRDefault="00F715CB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3. 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У разі паралельного приєднання засобів обліку електричної енергії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поживача та інших учасників, якщо точка розподілу електричної енергії </w:t>
      </w:r>
      <w:proofErr w:type="spellStart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встановлена на межі балансової належності суміжних електроустановок, які належать за ознакою права власності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поживачу (основному споживачу) та </w:t>
      </w:r>
      <w:proofErr w:type="spellStart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субспоживачам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: </w:t>
      </w:r>
    </w:p>
    <w:p w14:paraId="0D3C0847" w14:textId="77777777" w:rsidR="00D37896" w:rsidRPr="000A016E" w:rsidRDefault="000918CF" w:rsidP="00D3789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1) обсяг електричної енергії, спожитої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поживачем (основним споживачем), визначається за показами засобів обліку електричної енергії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>поживача (основного споживача);</w:t>
      </w:r>
    </w:p>
    <w:p w14:paraId="53163EF8" w14:textId="77777777" w:rsidR="000918CF" w:rsidRPr="000A016E" w:rsidRDefault="000918CF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2) обсяг електричної енергії, спожитої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субспоживачами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, визначається відповідно до показів засобів обліку електричної енергії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(у разі встановлення розрахункових засобів обліку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не на межі балансової належності електричних мереж обсяги втрат електричної енергії в цих мережах додаються до (віднімаються від) обсягів, визначених за показами засобів обліку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>).</w:t>
      </w:r>
    </w:p>
    <w:p w14:paraId="177A8C42" w14:textId="77777777" w:rsidR="000918CF" w:rsidRPr="000A016E" w:rsidRDefault="00F715CB" w:rsidP="00283D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4. 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У разі послідовного приєднання засобів обліку електричної енергії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поживача та </w:t>
      </w:r>
      <w:proofErr w:type="spellStart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, якщо точка розподілу електричної енергії </w:t>
      </w:r>
      <w:proofErr w:type="spellStart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встановлена на межі балансової належності суміжних електроустановок, які належать за ознакою права власності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споживачу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(основному споживачу) та </w:t>
      </w:r>
      <w:proofErr w:type="spellStart"/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субспоживачам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: </w:t>
      </w:r>
      <w:r w:rsidR="000918CF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              </w:t>
      </w:r>
    </w:p>
    <w:p w14:paraId="5363837C" w14:textId="77777777" w:rsidR="000918CF" w:rsidRDefault="000918CF" w:rsidP="00283D2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1) для визначення обсягу електричної енергії, спожитої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поживачем (основним споживачем), обсяг втрат електричної енергії, </w:t>
      </w:r>
      <w:r w:rsidR="00F2154B"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пов’язаних із спільним використанням ТЕМ, 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віднімається від різниці між обсягом електричної енергії, що надійшла в електричні мережі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с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поживача (основного споживача), та обсягом електричної енергії, відданої в електричні мережі інших </w:t>
      </w:r>
      <w:r w:rsidR="006E0BDA" w:rsidRPr="000A016E">
        <w:rPr>
          <w:rFonts w:ascii="Times New Roman" w:hAnsi="Times New Roman" w:cs="Times New Roman"/>
          <w:sz w:val="18"/>
          <w:szCs w:val="20"/>
          <w:lang w:val="uk-UA"/>
        </w:rPr>
        <w:t>у</w:t>
      </w:r>
      <w:r w:rsidRPr="000A016E">
        <w:rPr>
          <w:rFonts w:ascii="Times New Roman" w:hAnsi="Times New Roman" w:cs="Times New Roman"/>
          <w:sz w:val="18"/>
          <w:szCs w:val="20"/>
          <w:lang w:val="uk-UA"/>
        </w:rPr>
        <w:t>часників РРЕЕ</w:t>
      </w:r>
      <w:r w:rsidR="00D37896" w:rsidRPr="000A016E">
        <w:rPr>
          <w:rFonts w:ascii="Times New Roman" w:hAnsi="Times New Roman" w:cs="Times New Roman"/>
          <w:sz w:val="18"/>
          <w:szCs w:val="20"/>
          <w:lang w:val="uk-UA"/>
        </w:rPr>
        <w:t>:</w:t>
      </w:r>
    </w:p>
    <w:p w14:paraId="2BB81F23" w14:textId="77777777" w:rsidR="00C477C9" w:rsidRPr="00C477C9" w:rsidRDefault="00C477C9" w:rsidP="0067234C">
      <w:pPr>
        <w:tabs>
          <w:tab w:val="left" w:pos="567"/>
        </w:tabs>
        <w:spacing w:after="0" w:line="240" w:lineRule="auto"/>
        <w:ind w:firstLine="567"/>
        <w:jc w:val="center"/>
        <w:rPr>
          <w:rFonts w:ascii="Times New Roman" w:hAnsi="Times New Roman" w:cs="Times New Roman"/>
          <w:sz w:val="18"/>
          <w:szCs w:val="20"/>
        </w:rPr>
      </w:pPr>
      <w:proofErr w:type="spellStart"/>
      <w:r w:rsidRPr="00C477C9">
        <w:rPr>
          <w:rFonts w:ascii="Times New Roman" w:hAnsi="Times New Roman" w:cs="Times New Roman"/>
          <w:sz w:val="18"/>
          <w:szCs w:val="20"/>
        </w:rPr>
        <w:t>Wспоживан</w:t>
      </w:r>
      <w:r>
        <w:rPr>
          <w:rFonts w:ascii="Times New Roman" w:hAnsi="Times New Roman" w:cs="Times New Roman"/>
          <w:sz w:val="18"/>
          <w:szCs w:val="20"/>
        </w:rPr>
        <w:t>ня</w:t>
      </w:r>
      <w:proofErr w:type="spellEnd"/>
      <w:r>
        <w:rPr>
          <w:rFonts w:ascii="Times New Roman" w:hAnsi="Times New Roman" w:cs="Times New Roman"/>
          <w:sz w:val="18"/>
          <w:szCs w:val="20"/>
        </w:rPr>
        <w:t xml:space="preserve"> = </w:t>
      </w:r>
      <w:proofErr w:type="gramStart"/>
      <w:r>
        <w:rPr>
          <w:rFonts w:ascii="Times New Roman" w:hAnsi="Times New Roman" w:cs="Times New Roman"/>
          <w:sz w:val="18"/>
          <w:szCs w:val="20"/>
        </w:rPr>
        <w:t>W(</w:t>
      </w:r>
      <w:proofErr w:type="gramEnd"/>
      <w:r>
        <w:rPr>
          <w:rFonts w:ascii="Times New Roman" w:hAnsi="Times New Roman" w:cs="Times New Roman"/>
          <w:sz w:val="18"/>
          <w:szCs w:val="20"/>
          <w:vertAlign w:val="subscript"/>
          <w:lang w:val="uk-UA"/>
        </w:rPr>
        <w:t>1</w:t>
      </w:r>
      <w:r>
        <w:rPr>
          <w:rFonts w:ascii="Times New Roman" w:hAnsi="Times New Roman" w:cs="Times New Roman"/>
          <w:sz w:val="18"/>
          <w:szCs w:val="20"/>
        </w:rPr>
        <w:t>)i - W(</w:t>
      </w:r>
      <w:r>
        <w:rPr>
          <w:rFonts w:ascii="Times New Roman" w:hAnsi="Times New Roman" w:cs="Times New Roman"/>
          <w:sz w:val="18"/>
          <w:szCs w:val="20"/>
          <w:vertAlign w:val="subscript"/>
          <w:lang w:val="uk-UA"/>
        </w:rPr>
        <w:t>2</w:t>
      </w:r>
      <w:r w:rsidRPr="00C477C9">
        <w:rPr>
          <w:rFonts w:ascii="Times New Roman" w:hAnsi="Times New Roman" w:cs="Times New Roman"/>
          <w:sz w:val="18"/>
          <w:szCs w:val="20"/>
        </w:rPr>
        <w:t>)j,</w:t>
      </w:r>
    </w:p>
    <w:p w14:paraId="518F5B8E" w14:textId="77777777" w:rsidR="00C477C9" w:rsidRPr="00C477C9" w:rsidRDefault="00C477C9" w:rsidP="00C477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</w:p>
    <w:p w14:paraId="03B82843" w14:textId="77777777" w:rsidR="00C477C9" w:rsidRPr="00C477C9" w:rsidRDefault="00C477C9" w:rsidP="00C477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  <w:proofErr w:type="gramStart"/>
      <w:r w:rsidRPr="00C477C9">
        <w:rPr>
          <w:rFonts w:ascii="Times New Roman" w:hAnsi="Times New Roman" w:cs="Times New Roman"/>
          <w:sz w:val="18"/>
          <w:szCs w:val="20"/>
        </w:rPr>
        <w:t xml:space="preserve">де 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W</w:t>
      </w:r>
      <w:proofErr w:type="gramEnd"/>
      <w:r w:rsidRPr="00C477C9">
        <w:rPr>
          <w:rFonts w:ascii="Times New Roman" w:hAnsi="Times New Roman" w:cs="Times New Roman"/>
          <w:sz w:val="18"/>
          <w:szCs w:val="20"/>
        </w:rPr>
        <w:t>споживання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ab/>
        <w:t xml:space="preserve">-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споживання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Основного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споживача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>;</w:t>
      </w:r>
    </w:p>
    <w:p w14:paraId="4AED455E" w14:textId="77777777" w:rsidR="00C477C9" w:rsidRPr="00C477C9" w:rsidRDefault="00C477C9" w:rsidP="00C477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</w:p>
    <w:p w14:paraId="0B8AF561" w14:textId="77777777" w:rsidR="00C477C9" w:rsidRPr="00C477C9" w:rsidRDefault="00C477C9" w:rsidP="00C477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  <w:proofErr w:type="gramStart"/>
      <w:r>
        <w:rPr>
          <w:rFonts w:ascii="Times New Roman" w:hAnsi="Times New Roman" w:cs="Times New Roman"/>
          <w:sz w:val="18"/>
          <w:szCs w:val="20"/>
        </w:rPr>
        <w:t>W(</w:t>
      </w:r>
      <w:proofErr w:type="gramEnd"/>
      <w:r>
        <w:rPr>
          <w:rFonts w:ascii="Times New Roman" w:hAnsi="Times New Roman" w:cs="Times New Roman"/>
          <w:sz w:val="18"/>
          <w:szCs w:val="20"/>
          <w:vertAlign w:val="subscript"/>
          <w:lang w:val="uk-UA"/>
        </w:rPr>
        <w:t>1</w:t>
      </w:r>
      <w:r w:rsidRPr="00C477C9">
        <w:rPr>
          <w:rFonts w:ascii="Times New Roman" w:hAnsi="Times New Roman" w:cs="Times New Roman"/>
          <w:sz w:val="18"/>
          <w:szCs w:val="20"/>
        </w:rPr>
        <w:t>)i</w:t>
      </w:r>
      <w:r w:rsidRPr="00C477C9">
        <w:rPr>
          <w:rFonts w:ascii="Times New Roman" w:hAnsi="Times New Roman" w:cs="Times New Roman"/>
          <w:sz w:val="18"/>
          <w:szCs w:val="20"/>
        </w:rPr>
        <w:tab/>
        <w:t xml:space="preserve">-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споживання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по точках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обліку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по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яких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зді</w:t>
      </w:r>
      <w:r>
        <w:rPr>
          <w:rFonts w:ascii="Times New Roman" w:hAnsi="Times New Roman" w:cs="Times New Roman"/>
          <w:sz w:val="18"/>
          <w:szCs w:val="20"/>
        </w:rPr>
        <w:t>йснюється</w:t>
      </w:r>
      <w:proofErr w:type="spellEnd"/>
      <w:r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18"/>
          <w:szCs w:val="20"/>
        </w:rPr>
        <w:t>надходження</w:t>
      </w:r>
      <w:proofErr w:type="spellEnd"/>
      <w:r>
        <w:rPr>
          <w:rFonts w:ascii="Times New Roman" w:hAnsi="Times New Roman" w:cs="Times New Roman"/>
          <w:sz w:val="18"/>
          <w:szCs w:val="20"/>
        </w:rPr>
        <w:t xml:space="preserve"> в мережу,</w:t>
      </w:r>
      <w:r>
        <w:rPr>
          <w:rFonts w:ascii="Times New Roman" w:hAnsi="Times New Roman" w:cs="Times New Roman"/>
          <w:sz w:val="18"/>
          <w:szCs w:val="20"/>
          <w:lang w:val="uk-UA"/>
        </w:rPr>
        <w:t xml:space="preserve"> </w:t>
      </w:r>
      <w:r w:rsidRPr="00C477C9">
        <w:rPr>
          <w:rFonts w:ascii="Times New Roman" w:hAnsi="Times New Roman" w:cs="Times New Roman"/>
          <w:sz w:val="18"/>
          <w:szCs w:val="20"/>
        </w:rPr>
        <w:t xml:space="preserve">де i   -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кількість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точок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.          </w:t>
      </w:r>
    </w:p>
    <w:p w14:paraId="6CF42FA0" w14:textId="77777777" w:rsidR="00C477C9" w:rsidRPr="0067234C" w:rsidRDefault="00C477C9" w:rsidP="00C477C9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  <w:proofErr w:type="gramStart"/>
      <w:r>
        <w:rPr>
          <w:rFonts w:ascii="Times New Roman" w:hAnsi="Times New Roman" w:cs="Times New Roman"/>
          <w:sz w:val="18"/>
          <w:szCs w:val="20"/>
        </w:rPr>
        <w:t>W(</w:t>
      </w:r>
      <w:proofErr w:type="gramEnd"/>
      <w:r>
        <w:rPr>
          <w:rFonts w:ascii="Times New Roman" w:hAnsi="Times New Roman" w:cs="Times New Roman"/>
          <w:sz w:val="18"/>
          <w:szCs w:val="20"/>
          <w:vertAlign w:val="subscript"/>
          <w:lang w:val="uk-UA"/>
        </w:rPr>
        <w:t>2</w:t>
      </w:r>
      <w:r w:rsidRPr="00C477C9">
        <w:rPr>
          <w:rFonts w:ascii="Times New Roman" w:hAnsi="Times New Roman" w:cs="Times New Roman"/>
          <w:sz w:val="18"/>
          <w:szCs w:val="20"/>
        </w:rPr>
        <w:t>)j</w:t>
      </w:r>
      <w:r w:rsidRPr="00C477C9">
        <w:rPr>
          <w:rFonts w:ascii="Times New Roman" w:hAnsi="Times New Roman" w:cs="Times New Roman"/>
          <w:sz w:val="18"/>
          <w:szCs w:val="20"/>
        </w:rPr>
        <w:tab/>
        <w:t xml:space="preserve">-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споживання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по точках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обліку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субспоживачів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>, де j-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кількість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 xml:space="preserve"> </w:t>
      </w:r>
      <w:proofErr w:type="spellStart"/>
      <w:r w:rsidRPr="00C477C9">
        <w:rPr>
          <w:rFonts w:ascii="Times New Roman" w:hAnsi="Times New Roman" w:cs="Times New Roman"/>
          <w:sz w:val="18"/>
          <w:szCs w:val="20"/>
        </w:rPr>
        <w:t>субспоживачів</w:t>
      </w:r>
      <w:proofErr w:type="spellEnd"/>
      <w:r w:rsidRPr="00C477C9">
        <w:rPr>
          <w:rFonts w:ascii="Times New Roman" w:hAnsi="Times New Roman" w:cs="Times New Roman"/>
          <w:sz w:val="18"/>
          <w:szCs w:val="20"/>
        </w:rPr>
        <w:t>.</w:t>
      </w:r>
    </w:p>
    <w:p w14:paraId="6ED3FF77" w14:textId="77777777" w:rsidR="000918CF" w:rsidRDefault="000918CF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  <w:lang w:val="uk-UA"/>
        </w:rPr>
      </w:pPr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2) обсяг електричної енергії, спожитої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субспоживачами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визначається відповідно до показів засобів обліку електричної енергії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(у разі встановлення розрахункових засобів обліку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 xml:space="preserve"> не на межі балансової належності електричних мереж, обсяги втрат електричної енергії в цих мережах додаються до (віднімаються від) обсягів, визначених за показами засобів обліку </w:t>
      </w:r>
      <w:proofErr w:type="spellStart"/>
      <w:r w:rsidRPr="000A016E">
        <w:rPr>
          <w:rFonts w:ascii="Times New Roman" w:hAnsi="Times New Roman" w:cs="Times New Roman"/>
          <w:sz w:val="18"/>
          <w:szCs w:val="20"/>
          <w:lang w:val="uk-UA"/>
        </w:rPr>
        <w:t>субспоживачів</w:t>
      </w:r>
      <w:proofErr w:type="spellEnd"/>
      <w:r w:rsidRPr="000A016E">
        <w:rPr>
          <w:rFonts w:ascii="Times New Roman" w:hAnsi="Times New Roman" w:cs="Times New Roman"/>
          <w:sz w:val="18"/>
          <w:szCs w:val="20"/>
          <w:lang w:val="uk-UA"/>
        </w:rPr>
        <w:t>).</w:t>
      </w:r>
    </w:p>
    <w:p w14:paraId="55FC5943" w14:textId="77777777" w:rsidR="00EB26A1" w:rsidRPr="0067234C" w:rsidRDefault="00EB26A1" w:rsidP="0067234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u w:val="single"/>
          <w:lang w:val="uk-UA"/>
        </w:rPr>
      </w:pPr>
      <w:r w:rsidRPr="0067234C">
        <w:rPr>
          <w:rFonts w:ascii="Times New Roman" w:hAnsi="Times New Roman" w:cs="Times New Roman"/>
          <w:sz w:val="18"/>
          <w:szCs w:val="18"/>
          <w:u w:val="single"/>
          <w:lang w:val="uk-UA"/>
        </w:rPr>
        <w:t>Вихідні дані.</w:t>
      </w:r>
    </w:p>
    <w:p w14:paraId="4CF941DF" w14:textId="77777777" w:rsidR="00EB26A1" w:rsidRDefault="00EB26A1" w:rsidP="0067234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7234C">
        <w:rPr>
          <w:rFonts w:ascii="Times New Roman" w:hAnsi="Times New Roman" w:cs="Times New Roman"/>
          <w:sz w:val="18"/>
          <w:szCs w:val="18"/>
        </w:rPr>
        <w:t xml:space="preserve">Точки </w:t>
      </w:r>
      <w:proofErr w:type="spellStart"/>
      <w:r w:rsidRPr="0067234C">
        <w:rPr>
          <w:rFonts w:ascii="Times New Roman" w:hAnsi="Times New Roman" w:cs="Times New Roman"/>
          <w:sz w:val="18"/>
          <w:szCs w:val="18"/>
        </w:rPr>
        <w:t>комерційного</w:t>
      </w:r>
      <w:proofErr w:type="spellEnd"/>
      <w:r w:rsidRPr="0067234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8"/>
          <w:szCs w:val="18"/>
        </w:rPr>
        <w:t>обліку</w:t>
      </w:r>
      <w:proofErr w:type="spellEnd"/>
      <w:r w:rsidRPr="0067234C">
        <w:rPr>
          <w:rFonts w:ascii="Times New Roman" w:hAnsi="Times New Roman" w:cs="Times New Roman"/>
          <w:sz w:val="18"/>
          <w:szCs w:val="18"/>
        </w:rPr>
        <w:t xml:space="preserve"> по </w:t>
      </w:r>
      <w:proofErr w:type="spellStart"/>
      <w:r w:rsidRPr="0067234C">
        <w:rPr>
          <w:rFonts w:ascii="Times New Roman" w:hAnsi="Times New Roman" w:cs="Times New Roman"/>
          <w:sz w:val="18"/>
          <w:szCs w:val="18"/>
        </w:rPr>
        <w:t>яких</w:t>
      </w:r>
      <w:proofErr w:type="spellEnd"/>
      <w:r w:rsidRPr="0067234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8"/>
          <w:szCs w:val="18"/>
        </w:rPr>
        <w:t>здійснюється</w:t>
      </w:r>
      <w:proofErr w:type="spellEnd"/>
      <w:r w:rsidRPr="0067234C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8"/>
          <w:szCs w:val="18"/>
        </w:rPr>
        <w:t>надходження</w:t>
      </w:r>
      <w:proofErr w:type="spellEnd"/>
      <w:r w:rsidRPr="0067234C">
        <w:rPr>
          <w:rFonts w:ascii="Times New Roman" w:hAnsi="Times New Roman" w:cs="Times New Roman"/>
          <w:sz w:val="18"/>
          <w:szCs w:val="18"/>
        </w:rPr>
        <w:t xml:space="preserve"> в мережу:</w:t>
      </w:r>
    </w:p>
    <w:tbl>
      <w:tblPr>
        <w:tblStyle w:val="a9"/>
        <w:tblW w:w="10201" w:type="dxa"/>
        <w:tblLayout w:type="fixed"/>
        <w:tblLook w:val="04A0" w:firstRow="1" w:lastRow="0" w:firstColumn="1" w:lastColumn="0" w:noHBand="0" w:noVBand="1"/>
      </w:tblPr>
      <w:tblGrid>
        <w:gridCol w:w="562"/>
        <w:gridCol w:w="284"/>
        <w:gridCol w:w="1417"/>
        <w:gridCol w:w="1276"/>
        <w:gridCol w:w="1276"/>
        <w:gridCol w:w="1417"/>
        <w:gridCol w:w="851"/>
        <w:gridCol w:w="1134"/>
        <w:gridCol w:w="1134"/>
        <w:gridCol w:w="850"/>
      </w:tblGrid>
      <w:tr w:rsidR="00EB26A1" w:rsidRPr="00D30F44" w14:paraId="3C2E512C" w14:textId="77777777" w:rsidTr="0067234C">
        <w:tc>
          <w:tcPr>
            <w:tcW w:w="846" w:type="dxa"/>
            <w:gridSpan w:val="2"/>
            <w:vMerge w:val="restart"/>
          </w:tcPr>
          <w:p w14:paraId="1160DC62" w14:textId="77777777" w:rsidR="00EB26A1" w:rsidRPr="0067234C" w:rsidRDefault="00EB26A1" w:rsidP="00EB26A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№п/п</w:t>
            </w:r>
          </w:p>
        </w:tc>
        <w:tc>
          <w:tcPr>
            <w:tcW w:w="1417" w:type="dxa"/>
            <w:vMerge w:val="restart"/>
            <w:vAlign w:val="center"/>
          </w:tcPr>
          <w:p w14:paraId="4BF3634F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Назва об’єкту</w:t>
            </w:r>
            <w:r w:rsidR="00D30F44"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 основного споживача</w:t>
            </w:r>
          </w:p>
        </w:tc>
        <w:tc>
          <w:tcPr>
            <w:tcW w:w="1276" w:type="dxa"/>
            <w:vMerge w:val="restart"/>
            <w:vAlign w:val="center"/>
          </w:tcPr>
          <w:p w14:paraId="5335A105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Адреса</w:t>
            </w:r>
          </w:p>
        </w:tc>
        <w:tc>
          <w:tcPr>
            <w:tcW w:w="1276" w:type="dxa"/>
            <w:vMerge w:val="restart"/>
            <w:vAlign w:val="center"/>
          </w:tcPr>
          <w:p w14:paraId="4B6F160E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ЕІС код</w:t>
            </w:r>
          </w:p>
          <w:p w14:paraId="7FADFDBC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ТКО</w:t>
            </w:r>
          </w:p>
        </w:tc>
        <w:tc>
          <w:tcPr>
            <w:tcW w:w="2268" w:type="dxa"/>
            <w:gridSpan w:val="2"/>
            <w:vAlign w:val="center"/>
          </w:tcPr>
          <w:p w14:paraId="50EC0FA7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Дані приладів обліку</w:t>
            </w:r>
          </w:p>
        </w:tc>
        <w:tc>
          <w:tcPr>
            <w:tcW w:w="1134" w:type="dxa"/>
            <w:vMerge w:val="restart"/>
            <w:vAlign w:val="center"/>
          </w:tcPr>
          <w:p w14:paraId="0B216B56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Клас напруги об’єкту споживача</w:t>
            </w:r>
          </w:p>
        </w:tc>
        <w:tc>
          <w:tcPr>
            <w:tcW w:w="1134" w:type="dxa"/>
            <w:vMerge w:val="restart"/>
            <w:vAlign w:val="center"/>
          </w:tcPr>
          <w:p w14:paraId="1C1F8AC6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Межа розподілу</w:t>
            </w:r>
          </w:p>
        </w:tc>
        <w:tc>
          <w:tcPr>
            <w:tcW w:w="850" w:type="dxa"/>
            <w:vMerge w:val="restart"/>
            <w:vAlign w:val="center"/>
          </w:tcPr>
          <w:p w14:paraId="011BA12E" w14:textId="77777777" w:rsidR="00FA3011" w:rsidRPr="00FA3011" w:rsidRDefault="00FA3011" w:rsidP="00FA30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A301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Втрати в мережі</w:t>
            </w:r>
          </w:p>
          <w:p w14:paraId="1C030D9F" w14:textId="77777777" w:rsidR="00EB26A1" w:rsidRPr="0067234C" w:rsidRDefault="00FA3011" w:rsidP="00FA30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FA3011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(Так/Ні)</w:t>
            </w:r>
          </w:p>
        </w:tc>
      </w:tr>
      <w:tr w:rsidR="00EB26A1" w:rsidRPr="00D30F44" w14:paraId="013EC653" w14:textId="77777777" w:rsidTr="0067234C">
        <w:tc>
          <w:tcPr>
            <w:tcW w:w="846" w:type="dxa"/>
            <w:gridSpan w:val="2"/>
            <w:vMerge/>
          </w:tcPr>
          <w:p w14:paraId="57ECE41B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14:paraId="35F7BD2C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7C2100E5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192C4F13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53E2455F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Номер лічильника</w:t>
            </w:r>
          </w:p>
        </w:tc>
        <w:tc>
          <w:tcPr>
            <w:tcW w:w="851" w:type="dxa"/>
            <w:vAlign w:val="center"/>
          </w:tcPr>
          <w:p w14:paraId="2A8C3391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Коеф</w:t>
            </w:r>
            <w:proofErr w:type="spellEnd"/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1134" w:type="dxa"/>
            <w:vMerge/>
            <w:vAlign w:val="center"/>
          </w:tcPr>
          <w:p w14:paraId="5FA30449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BE850B8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6A6D6168" w14:textId="77777777" w:rsidR="00EB26A1" w:rsidRPr="0067234C" w:rsidRDefault="00EB26A1" w:rsidP="0067234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F44" w:rsidRPr="00D30F44" w14:paraId="44E1BEA7" w14:textId="77777777" w:rsidTr="0067234C">
        <w:trPr>
          <w:trHeight w:val="378"/>
        </w:trPr>
        <w:tc>
          <w:tcPr>
            <w:tcW w:w="562" w:type="dxa"/>
            <w:vMerge w:val="restart"/>
            <w:textDirection w:val="btLr"/>
          </w:tcPr>
          <w:p w14:paraId="604B1513" w14:textId="77777777" w:rsidR="00EB26A1" w:rsidRPr="0067234C" w:rsidRDefault="00EB26A1" w:rsidP="0067234C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Надходження в мережу</w:t>
            </w:r>
          </w:p>
        </w:tc>
        <w:tc>
          <w:tcPr>
            <w:tcW w:w="284" w:type="dxa"/>
          </w:tcPr>
          <w:p w14:paraId="3B745937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417" w:type="dxa"/>
          </w:tcPr>
          <w:p w14:paraId="798F53B7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8B914A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7517676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7B3A57A4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0841396D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44AE0A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D58C3F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D724C31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F44" w:rsidRPr="00D30F44" w14:paraId="7141767C" w14:textId="77777777" w:rsidTr="0067234C">
        <w:trPr>
          <w:trHeight w:val="550"/>
        </w:trPr>
        <w:tc>
          <w:tcPr>
            <w:tcW w:w="562" w:type="dxa"/>
            <w:vMerge/>
          </w:tcPr>
          <w:p w14:paraId="235BF81E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1A4A5C82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2</w:t>
            </w:r>
          </w:p>
        </w:tc>
        <w:tc>
          <w:tcPr>
            <w:tcW w:w="1417" w:type="dxa"/>
          </w:tcPr>
          <w:p w14:paraId="31CBB740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41EBC9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EFF808B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AF33E85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20B24EFB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8CC4C7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A65FF13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35F7749D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30F44" w:rsidRPr="00D30F44" w14:paraId="397F4060" w14:textId="77777777" w:rsidTr="0067234C">
        <w:trPr>
          <w:trHeight w:val="471"/>
        </w:trPr>
        <w:tc>
          <w:tcPr>
            <w:tcW w:w="562" w:type="dxa"/>
            <w:vMerge/>
          </w:tcPr>
          <w:p w14:paraId="776B6FE0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4" w:type="dxa"/>
          </w:tcPr>
          <w:p w14:paraId="6FAFD5E4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3</w:t>
            </w:r>
          </w:p>
        </w:tc>
        <w:tc>
          <w:tcPr>
            <w:tcW w:w="1417" w:type="dxa"/>
          </w:tcPr>
          <w:p w14:paraId="47AD6CDC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361673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083483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2ED34D4C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7B492FED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1C096B3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46237C2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14:paraId="1701C214" w14:textId="77777777" w:rsidR="00EB26A1" w:rsidRPr="0067234C" w:rsidRDefault="00EB26A1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1D564CF" w14:textId="77777777" w:rsidR="00EB26A1" w:rsidRPr="0067234C" w:rsidRDefault="00EB26A1" w:rsidP="0067234C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  <w:r w:rsidRPr="0067234C">
        <w:rPr>
          <w:rFonts w:ascii="Times New Roman" w:hAnsi="Times New Roman" w:cs="Times New Roman"/>
          <w:sz w:val="16"/>
          <w:szCs w:val="16"/>
        </w:rPr>
        <w:t xml:space="preserve">Точки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комерційного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обліку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по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яких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здійснюється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віддача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електричної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енергії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в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мережі</w:t>
      </w:r>
      <w:proofErr w:type="spellEnd"/>
      <w:r w:rsidRPr="0067234C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67234C">
        <w:rPr>
          <w:rFonts w:ascii="Times New Roman" w:hAnsi="Times New Roman" w:cs="Times New Roman"/>
          <w:sz w:val="16"/>
          <w:szCs w:val="16"/>
        </w:rPr>
        <w:t>субспоживачів</w:t>
      </w:r>
      <w:proofErr w:type="spellEnd"/>
      <w:r w:rsidRPr="0067234C">
        <w:rPr>
          <w:rFonts w:ascii="Times New Roman" w:hAnsi="Times New Roman" w:cs="Times New Roman"/>
          <w:sz w:val="16"/>
          <w:szCs w:val="16"/>
          <w:lang w:val="uk-UA"/>
        </w:rPr>
        <w:t>.</w:t>
      </w:r>
    </w:p>
    <w:tbl>
      <w:tblPr>
        <w:tblStyle w:val="a9"/>
        <w:tblW w:w="10060" w:type="dxa"/>
        <w:tblLayout w:type="fixed"/>
        <w:tblLook w:val="04A0" w:firstRow="1" w:lastRow="0" w:firstColumn="1" w:lastColumn="0" w:noHBand="0" w:noVBand="1"/>
      </w:tblPr>
      <w:tblGrid>
        <w:gridCol w:w="562"/>
        <w:gridCol w:w="284"/>
        <w:gridCol w:w="1417"/>
        <w:gridCol w:w="1276"/>
        <w:gridCol w:w="1276"/>
        <w:gridCol w:w="1134"/>
        <w:gridCol w:w="992"/>
        <w:gridCol w:w="992"/>
        <w:gridCol w:w="1276"/>
        <w:gridCol w:w="851"/>
      </w:tblGrid>
      <w:tr w:rsidR="00D30F44" w:rsidRPr="00D30F44" w14:paraId="58019797" w14:textId="77777777" w:rsidTr="0067234C">
        <w:trPr>
          <w:trHeight w:val="143"/>
        </w:trPr>
        <w:tc>
          <w:tcPr>
            <w:tcW w:w="846" w:type="dxa"/>
            <w:gridSpan w:val="2"/>
            <w:vMerge w:val="restart"/>
          </w:tcPr>
          <w:p w14:paraId="52895368" w14:textId="77777777" w:rsidR="00D30F44" w:rsidRPr="00D30F44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№п/п</w:t>
            </w:r>
          </w:p>
        </w:tc>
        <w:tc>
          <w:tcPr>
            <w:tcW w:w="1417" w:type="dxa"/>
            <w:vMerge w:val="restart"/>
            <w:vAlign w:val="center"/>
          </w:tcPr>
          <w:p w14:paraId="7951A06F" w14:textId="77777777" w:rsidR="00D30F44" w:rsidRPr="0067234C" w:rsidRDefault="00D30F44" w:rsidP="00FA30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Назва об’єкту </w:t>
            </w:r>
            <w:proofErr w:type="spellStart"/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субспоживача</w:t>
            </w:r>
            <w:proofErr w:type="spellEnd"/>
          </w:p>
        </w:tc>
        <w:tc>
          <w:tcPr>
            <w:tcW w:w="1276" w:type="dxa"/>
            <w:vMerge w:val="restart"/>
            <w:vAlign w:val="center"/>
          </w:tcPr>
          <w:p w14:paraId="4B84B27E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Адреса</w:t>
            </w:r>
          </w:p>
        </w:tc>
        <w:tc>
          <w:tcPr>
            <w:tcW w:w="1276" w:type="dxa"/>
            <w:vMerge w:val="restart"/>
            <w:vAlign w:val="center"/>
          </w:tcPr>
          <w:p w14:paraId="3CC06277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ЕІС код</w:t>
            </w:r>
          </w:p>
          <w:p w14:paraId="3B8E4F24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ТКО</w:t>
            </w:r>
          </w:p>
        </w:tc>
        <w:tc>
          <w:tcPr>
            <w:tcW w:w="2126" w:type="dxa"/>
            <w:gridSpan w:val="2"/>
            <w:vAlign w:val="center"/>
          </w:tcPr>
          <w:p w14:paraId="5D7EDEBC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Дані приладів обліку</w:t>
            </w:r>
          </w:p>
        </w:tc>
        <w:tc>
          <w:tcPr>
            <w:tcW w:w="992" w:type="dxa"/>
            <w:vMerge w:val="restart"/>
            <w:vAlign w:val="center"/>
          </w:tcPr>
          <w:p w14:paraId="6733B726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Клас напруги об’єкту споживача</w:t>
            </w:r>
          </w:p>
        </w:tc>
        <w:tc>
          <w:tcPr>
            <w:tcW w:w="1276" w:type="dxa"/>
            <w:vMerge w:val="restart"/>
            <w:vAlign w:val="center"/>
          </w:tcPr>
          <w:p w14:paraId="46061960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Межа розподілу</w:t>
            </w:r>
          </w:p>
        </w:tc>
        <w:tc>
          <w:tcPr>
            <w:tcW w:w="851" w:type="dxa"/>
            <w:vMerge w:val="restart"/>
            <w:vAlign w:val="center"/>
          </w:tcPr>
          <w:p w14:paraId="73085947" w14:textId="77777777" w:rsidR="00D30F44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Втрати в мережі</w:t>
            </w:r>
          </w:p>
          <w:p w14:paraId="2255FE18" w14:textId="77777777" w:rsidR="00D30F44" w:rsidRPr="0067234C" w:rsidRDefault="00D30F44" w:rsidP="00A81552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(Так/Ні)</w:t>
            </w:r>
          </w:p>
        </w:tc>
      </w:tr>
      <w:tr w:rsidR="00D30F44" w:rsidRPr="00D30F44" w14:paraId="76C179E1" w14:textId="77777777" w:rsidTr="0067234C">
        <w:trPr>
          <w:trHeight w:val="279"/>
        </w:trPr>
        <w:tc>
          <w:tcPr>
            <w:tcW w:w="846" w:type="dxa"/>
            <w:gridSpan w:val="2"/>
            <w:vMerge/>
          </w:tcPr>
          <w:p w14:paraId="50215086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417" w:type="dxa"/>
            <w:vMerge/>
            <w:vAlign w:val="center"/>
          </w:tcPr>
          <w:p w14:paraId="291B0843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0D18B52E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07EB5A17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  <w:vAlign w:val="center"/>
          </w:tcPr>
          <w:p w14:paraId="6AEBD68E" w14:textId="77777777" w:rsidR="00D30F44" w:rsidRPr="00D30F44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A8155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Номер лічильника</w:t>
            </w:r>
          </w:p>
        </w:tc>
        <w:tc>
          <w:tcPr>
            <w:tcW w:w="992" w:type="dxa"/>
            <w:vAlign w:val="center"/>
          </w:tcPr>
          <w:p w14:paraId="7492FA3F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proofErr w:type="spellStart"/>
            <w:r w:rsidRPr="00A8155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Коеф</w:t>
            </w:r>
            <w:proofErr w:type="spellEnd"/>
            <w:r w:rsidRPr="00A81552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.</w:t>
            </w:r>
          </w:p>
        </w:tc>
        <w:tc>
          <w:tcPr>
            <w:tcW w:w="992" w:type="dxa"/>
            <w:vMerge/>
            <w:vAlign w:val="center"/>
          </w:tcPr>
          <w:p w14:paraId="45973C0C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14:paraId="55E76742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  <w:vMerge/>
            <w:vAlign w:val="center"/>
          </w:tcPr>
          <w:p w14:paraId="29713315" w14:textId="77777777" w:rsidR="00D30F44" w:rsidRPr="0067234C" w:rsidRDefault="00D30F44" w:rsidP="00D30F4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D30F44" w:rsidRPr="00D30F44" w14:paraId="2C26AC17" w14:textId="77777777" w:rsidTr="0067234C">
        <w:trPr>
          <w:trHeight w:val="395"/>
        </w:trPr>
        <w:tc>
          <w:tcPr>
            <w:tcW w:w="562" w:type="dxa"/>
            <w:vMerge w:val="restart"/>
            <w:textDirection w:val="btLr"/>
          </w:tcPr>
          <w:p w14:paraId="776D90FD" w14:textId="77777777" w:rsidR="00D30F44" w:rsidRPr="0067234C" w:rsidRDefault="00D30F44" w:rsidP="0067234C">
            <w:pPr>
              <w:ind w:left="113" w:right="113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 xml:space="preserve">Віддача </w:t>
            </w:r>
            <w:proofErr w:type="spellStart"/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субспоживачам</w:t>
            </w:r>
            <w:proofErr w:type="spellEnd"/>
          </w:p>
        </w:tc>
        <w:tc>
          <w:tcPr>
            <w:tcW w:w="284" w:type="dxa"/>
          </w:tcPr>
          <w:p w14:paraId="41603B9C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67234C">
              <w:rPr>
                <w:rFonts w:ascii="Times New Roman" w:hAnsi="Times New Roman" w:cs="Times New Roman"/>
                <w:sz w:val="16"/>
                <w:szCs w:val="16"/>
                <w:lang w:val="uk-UA"/>
              </w:rPr>
              <w:t>1</w:t>
            </w:r>
          </w:p>
        </w:tc>
        <w:tc>
          <w:tcPr>
            <w:tcW w:w="1417" w:type="dxa"/>
          </w:tcPr>
          <w:p w14:paraId="23DBB9B3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3F6FBC54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3C98B41D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134" w:type="dxa"/>
          </w:tcPr>
          <w:p w14:paraId="49428EF5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14:paraId="19731F5A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992" w:type="dxa"/>
          </w:tcPr>
          <w:p w14:paraId="70868B12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1276" w:type="dxa"/>
          </w:tcPr>
          <w:p w14:paraId="74922766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  <w:tc>
          <w:tcPr>
            <w:tcW w:w="851" w:type="dxa"/>
          </w:tcPr>
          <w:p w14:paraId="25FE699E" w14:textId="77777777" w:rsidR="00D30F44" w:rsidRPr="0067234C" w:rsidRDefault="00D30F44" w:rsidP="00EB26A1">
            <w:pPr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D30F44" w14:paraId="2BC54C89" w14:textId="77777777" w:rsidTr="0067234C">
        <w:trPr>
          <w:trHeight w:val="425"/>
        </w:trPr>
        <w:tc>
          <w:tcPr>
            <w:tcW w:w="562" w:type="dxa"/>
            <w:vMerge/>
          </w:tcPr>
          <w:p w14:paraId="62A4B217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</w:tcPr>
          <w:p w14:paraId="6350FDFC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2</w:t>
            </w:r>
          </w:p>
        </w:tc>
        <w:tc>
          <w:tcPr>
            <w:tcW w:w="1417" w:type="dxa"/>
          </w:tcPr>
          <w:p w14:paraId="352CA063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0C11C8C4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214FAFAB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0912E9E6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35A3C791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672BC331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14EC0D83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3ECF24D8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  <w:tr w:rsidR="00D30F44" w14:paraId="00FA3EF1" w14:textId="77777777" w:rsidTr="0067234C">
        <w:trPr>
          <w:trHeight w:val="567"/>
        </w:trPr>
        <w:tc>
          <w:tcPr>
            <w:tcW w:w="562" w:type="dxa"/>
            <w:vMerge/>
          </w:tcPr>
          <w:p w14:paraId="4B15E3FC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284" w:type="dxa"/>
          </w:tcPr>
          <w:p w14:paraId="21D80793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3</w:t>
            </w:r>
          </w:p>
        </w:tc>
        <w:tc>
          <w:tcPr>
            <w:tcW w:w="1417" w:type="dxa"/>
          </w:tcPr>
          <w:p w14:paraId="77A761C0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6B5DEA4C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0CF26704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134" w:type="dxa"/>
          </w:tcPr>
          <w:p w14:paraId="4A66AC3D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5FEA8B4E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992" w:type="dxa"/>
          </w:tcPr>
          <w:p w14:paraId="43EF25CC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1276" w:type="dxa"/>
          </w:tcPr>
          <w:p w14:paraId="4889E39E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  <w:tc>
          <w:tcPr>
            <w:tcW w:w="851" w:type="dxa"/>
          </w:tcPr>
          <w:p w14:paraId="6CEDFC70" w14:textId="77777777" w:rsidR="00D30F44" w:rsidRDefault="00D30F44" w:rsidP="00EB26A1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</w:p>
        </w:tc>
      </w:tr>
    </w:tbl>
    <w:p w14:paraId="1B4D468B" w14:textId="77777777" w:rsidR="00EB26A1" w:rsidRPr="0067234C" w:rsidRDefault="00EB26A1" w:rsidP="0067234C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uk-UA"/>
        </w:rPr>
      </w:pPr>
    </w:p>
    <w:p w14:paraId="7E9815AA" w14:textId="77777777" w:rsidR="00EB26A1" w:rsidRPr="0067234C" w:rsidRDefault="00EB26A1" w:rsidP="00283D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8"/>
          <w:szCs w:val="20"/>
        </w:rPr>
      </w:pPr>
    </w:p>
    <w:p w14:paraId="2B8417ED" w14:textId="027E02A0" w:rsidR="008C59DF" w:rsidRDefault="008B2F01" w:rsidP="000A016E">
      <w:pPr>
        <w:pStyle w:val="Default"/>
        <w:ind w:firstLine="567"/>
        <w:jc w:val="both"/>
        <w:rPr>
          <w:sz w:val="18"/>
          <w:szCs w:val="20"/>
          <w:lang w:val="uk-UA"/>
        </w:rPr>
      </w:pPr>
      <w:r>
        <w:rPr>
          <w:sz w:val="18"/>
          <w:szCs w:val="20"/>
          <w:lang w:val="uk-UA"/>
        </w:rPr>
        <w:t>5</w:t>
      </w:r>
      <w:r w:rsidR="009C68EA" w:rsidRPr="000A016E">
        <w:rPr>
          <w:sz w:val="18"/>
          <w:szCs w:val="20"/>
          <w:lang w:val="uk-UA"/>
        </w:rPr>
        <w:t xml:space="preserve">. Розрахунок втрат електричної енергії, пов’язаних з транспортуванням електричної енергії мережами Споживача (основного споживача) в мережі інших Учасників РРЕЕ здійснюється у порядку та на підставі даних, наведених у додатках </w:t>
      </w:r>
      <w:r w:rsidR="00913217" w:rsidRPr="000A016E">
        <w:rPr>
          <w:sz w:val="18"/>
          <w:szCs w:val="20"/>
          <w:lang w:val="uk-UA"/>
        </w:rPr>
        <w:t xml:space="preserve">№№ </w:t>
      </w:r>
      <w:r w:rsidR="008C59DF" w:rsidRPr="000A016E">
        <w:rPr>
          <w:sz w:val="18"/>
          <w:szCs w:val="20"/>
          <w:lang w:val="uk-UA"/>
        </w:rPr>
        <w:t>3</w:t>
      </w:r>
      <w:r w:rsidR="00913217" w:rsidRPr="000A016E">
        <w:rPr>
          <w:sz w:val="18"/>
          <w:szCs w:val="20"/>
          <w:lang w:val="uk-UA"/>
        </w:rPr>
        <w:t xml:space="preserve"> </w:t>
      </w:r>
      <w:r w:rsidR="009C68EA" w:rsidRPr="000A016E">
        <w:rPr>
          <w:sz w:val="18"/>
          <w:szCs w:val="20"/>
          <w:lang w:val="uk-UA"/>
        </w:rPr>
        <w:t xml:space="preserve">та </w:t>
      </w:r>
      <w:r w:rsidR="00C92C0E">
        <w:rPr>
          <w:sz w:val="18"/>
          <w:szCs w:val="20"/>
          <w:lang w:val="uk-UA"/>
        </w:rPr>
        <w:t>8</w:t>
      </w:r>
      <w:r w:rsidR="009C68EA" w:rsidRPr="000A016E">
        <w:rPr>
          <w:sz w:val="18"/>
          <w:szCs w:val="20"/>
          <w:lang w:val="uk-UA"/>
        </w:rPr>
        <w:t xml:space="preserve"> до Договору. </w:t>
      </w:r>
    </w:p>
    <w:p w14:paraId="0596B665" w14:textId="77777777" w:rsidR="000A016E" w:rsidRDefault="000A016E" w:rsidP="000A016E">
      <w:pPr>
        <w:pStyle w:val="Default"/>
        <w:ind w:firstLine="567"/>
        <w:jc w:val="both"/>
        <w:rPr>
          <w:sz w:val="18"/>
          <w:szCs w:val="20"/>
          <w:lang w:val="uk-UA"/>
        </w:rPr>
      </w:pPr>
    </w:p>
    <w:p w14:paraId="1A0B6686" w14:textId="3DFFF269" w:rsidR="001F4183" w:rsidRPr="001F4183" w:rsidRDefault="001F4183" w:rsidP="001F4183">
      <w:pPr>
        <w:pStyle w:val="Default"/>
        <w:ind w:firstLine="567"/>
        <w:jc w:val="both"/>
        <w:rPr>
          <w:sz w:val="18"/>
          <w:szCs w:val="20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097"/>
        <w:gridCol w:w="5097"/>
      </w:tblGrid>
      <w:tr w:rsidR="001F4183" w14:paraId="56C0BCB7" w14:textId="77777777" w:rsidTr="001F4183">
        <w:trPr>
          <w:trHeight w:val="1552"/>
        </w:trPr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14:paraId="1F037C17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 xml:space="preserve">Оператор системи </w:t>
            </w:r>
          </w:p>
          <w:p w14:paraId="63BC3EF1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>ДП «РЕГІОНАЛЬНІ ЕЛЕКТРИЧНІ МЕРЕЖІ»</w:t>
            </w:r>
          </w:p>
          <w:p w14:paraId="1F82703F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 xml:space="preserve"> В.о. генерального директора</w:t>
            </w:r>
          </w:p>
          <w:p w14:paraId="4C72D279" w14:textId="77777777" w:rsidR="001F4183" w:rsidRPr="001F4183" w:rsidRDefault="001F4183" w:rsidP="001F4183">
            <w:pPr>
              <w:pStyle w:val="Default"/>
              <w:ind w:firstLine="567"/>
              <w:jc w:val="both"/>
              <w:rPr>
                <w:sz w:val="18"/>
                <w:szCs w:val="20"/>
                <w:lang w:val="uk-UA"/>
              </w:rPr>
            </w:pPr>
          </w:p>
          <w:p w14:paraId="0B158FCC" w14:textId="77777777" w:rsidR="001F4183" w:rsidRPr="001F4183" w:rsidRDefault="001F4183" w:rsidP="001F4183">
            <w:pPr>
              <w:pStyle w:val="Default"/>
              <w:ind w:firstLine="567"/>
              <w:jc w:val="both"/>
              <w:rPr>
                <w:sz w:val="18"/>
                <w:szCs w:val="20"/>
                <w:lang w:val="uk-UA"/>
              </w:rPr>
            </w:pPr>
          </w:p>
          <w:p w14:paraId="37209294" w14:textId="77777777" w:rsidR="001F4183" w:rsidRPr="001F4183" w:rsidRDefault="001F4183" w:rsidP="001F4183">
            <w:pPr>
              <w:pStyle w:val="Default"/>
              <w:ind w:firstLine="567"/>
              <w:jc w:val="both"/>
              <w:rPr>
                <w:sz w:val="18"/>
                <w:szCs w:val="20"/>
                <w:lang w:val="uk-UA"/>
              </w:rPr>
            </w:pPr>
          </w:p>
          <w:p w14:paraId="4A037B5B" w14:textId="77A3F9C6" w:rsid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 xml:space="preserve">____________________Руслан ТКАЧЕНКО </w:t>
            </w: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</w:tcPr>
          <w:p w14:paraId="43F27CD8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>Споживач</w:t>
            </w:r>
          </w:p>
          <w:p w14:paraId="48AC3C0C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>_______________________________________</w:t>
            </w:r>
          </w:p>
          <w:p w14:paraId="128872A7" w14:textId="77777777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</w:p>
          <w:p w14:paraId="77511B8C" w14:textId="086ADDA8" w:rsid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</w:p>
          <w:p w14:paraId="79A9639D" w14:textId="77777777" w:rsid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</w:p>
          <w:p w14:paraId="67F95942" w14:textId="63E22FD0" w:rsidR="001F4183" w:rsidRP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  <w:r w:rsidRPr="001F4183">
              <w:rPr>
                <w:sz w:val="18"/>
                <w:szCs w:val="20"/>
                <w:lang w:val="uk-UA"/>
              </w:rPr>
              <w:t xml:space="preserve">______________ </w:t>
            </w:r>
          </w:p>
          <w:p w14:paraId="02A03292" w14:textId="77777777" w:rsidR="001F4183" w:rsidRDefault="001F4183" w:rsidP="001F4183">
            <w:pPr>
              <w:pStyle w:val="Default"/>
              <w:jc w:val="both"/>
              <w:rPr>
                <w:sz w:val="18"/>
                <w:szCs w:val="20"/>
                <w:lang w:val="uk-UA"/>
              </w:rPr>
            </w:pPr>
          </w:p>
        </w:tc>
      </w:tr>
    </w:tbl>
    <w:p w14:paraId="57199176" w14:textId="77777777" w:rsidR="001F4183" w:rsidRDefault="001F4183" w:rsidP="001F4183">
      <w:pPr>
        <w:pStyle w:val="Default"/>
        <w:jc w:val="both"/>
        <w:rPr>
          <w:sz w:val="18"/>
          <w:szCs w:val="20"/>
          <w:lang w:val="uk-UA"/>
        </w:rPr>
      </w:pPr>
    </w:p>
    <w:sectPr w:rsidR="001F4183" w:rsidSect="001F4183">
      <w:pgSz w:w="11906" w:h="16838"/>
      <w:pgMar w:top="284" w:right="851" w:bottom="0" w:left="851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63B205" w14:textId="77777777" w:rsidR="00BE26EE" w:rsidRDefault="00BE26EE" w:rsidP="00F715CB">
      <w:pPr>
        <w:spacing w:after="0" w:line="240" w:lineRule="auto"/>
      </w:pPr>
      <w:r>
        <w:separator/>
      </w:r>
    </w:p>
  </w:endnote>
  <w:endnote w:type="continuationSeparator" w:id="0">
    <w:p w14:paraId="570138BC" w14:textId="77777777" w:rsidR="00BE26EE" w:rsidRDefault="00BE26EE" w:rsidP="00F71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12AB8C" w14:textId="77777777" w:rsidR="00BE26EE" w:rsidRDefault="00BE26EE" w:rsidP="00F715CB">
      <w:pPr>
        <w:spacing w:after="0" w:line="240" w:lineRule="auto"/>
      </w:pPr>
      <w:r>
        <w:separator/>
      </w:r>
    </w:p>
  </w:footnote>
  <w:footnote w:type="continuationSeparator" w:id="0">
    <w:p w14:paraId="16BF29F3" w14:textId="77777777" w:rsidR="00BE26EE" w:rsidRDefault="00BE26EE" w:rsidP="00F71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54D6E"/>
    <w:multiLevelType w:val="hybridMultilevel"/>
    <w:tmpl w:val="AA3A27B4"/>
    <w:lvl w:ilvl="0" w:tplc="792899C6">
      <w:start w:val="1"/>
      <w:numFmt w:val="decimal"/>
      <w:lvlText w:val="%1."/>
      <w:lvlJc w:val="left"/>
      <w:pPr>
        <w:ind w:left="87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96" w:hanging="360"/>
      </w:pPr>
    </w:lvl>
    <w:lvl w:ilvl="2" w:tplc="0422001B" w:tentative="1">
      <w:start w:val="1"/>
      <w:numFmt w:val="lowerRoman"/>
      <w:lvlText w:val="%3."/>
      <w:lvlJc w:val="right"/>
      <w:pPr>
        <w:ind w:left="2316" w:hanging="180"/>
      </w:pPr>
    </w:lvl>
    <w:lvl w:ilvl="3" w:tplc="0422000F" w:tentative="1">
      <w:start w:val="1"/>
      <w:numFmt w:val="decimal"/>
      <w:lvlText w:val="%4."/>
      <w:lvlJc w:val="left"/>
      <w:pPr>
        <w:ind w:left="3036" w:hanging="360"/>
      </w:pPr>
    </w:lvl>
    <w:lvl w:ilvl="4" w:tplc="04220019" w:tentative="1">
      <w:start w:val="1"/>
      <w:numFmt w:val="lowerLetter"/>
      <w:lvlText w:val="%5."/>
      <w:lvlJc w:val="left"/>
      <w:pPr>
        <w:ind w:left="3756" w:hanging="360"/>
      </w:pPr>
    </w:lvl>
    <w:lvl w:ilvl="5" w:tplc="0422001B" w:tentative="1">
      <w:start w:val="1"/>
      <w:numFmt w:val="lowerRoman"/>
      <w:lvlText w:val="%6."/>
      <w:lvlJc w:val="right"/>
      <w:pPr>
        <w:ind w:left="4476" w:hanging="180"/>
      </w:pPr>
    </w:lvl>
    <w:lvl w:ilvl="6" w:tplc="0422000F" w:tentative="1">
      <w:start w:val="1"/>
      <w:numFmt w:val="decimal"/>
      <w:lvlText w:val="%7."/>
      <w:lvlJc w:val="left"/>
      <w:pPr>
        <w:ind w:left="5196" w:hanging="360"/>
      </w:pPr>
    </w:lvl>
    <w:lvl w:ilvl="7" w:tplc="04220019" w:tentative="1">
      <w:start w:val="1"/>
      <w:numFmt w:val="lowerLetter"/>
      <w:lvlText w:val="%8."/>
      <w:lvlJc w:val="left"/>
      <w:pPr>
        <w:ind w:left="5916" w:hanging="360"/>
      </w:pPr>
    </w:lvl>
    <w:lvl w:ilvl="8" w:tplc="0422001B" w:tentative="1">
      <w:start w:val="1"/>
      <w:numFmt w:val="lowerRoman"/>
      <w:lvlText w:val="%9."/>
      <w:lvlJc w:val="right"/>
      <w:pPr>
        <w:ind w:left="6636" w:hanging="180"/>
      </w:pPr>
    </w:lvl>
  </w:abstractNum>
  <w:num w:numId="1" w16cid:durableId="2146507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5CB"/>
    <w:rsid w:val="000918CF"/>
    <w:rsid w:val="000A016E"/>
    <w:rsid w:val="000C4FBD"/>
    <w:rsid w:val="000F0A48"/>
    <w:rsid w:val="00131CB5"/>
    <w:rsid w:val="00165B17"/>
    <w:rsid w:val="001B75AB"/>
    <w:rsid w:val="001E426C"/>
    <w:rsid w:val="001F4183"/>
    <w:rsid w:val="00201494"/>
    <w:rsid w:val="00203E0C"/>
    <w:rsid w:val="00241558"/>
    <w:rsid w:val="0026123B"/>
    <w:rsid w:val="00273ACD"/>
    <w:rsid w:val="0027622A"/>
    <w:rsid w:val="00283D2B"/>
    <w:rsid w:val="002E25B0"/>
    <w:rsid w:val="0038408F"/>
    <w:rsid w:val="004037D6"/>
    <w:rsid w:val="00474A44"/>
    <w:rsid w:val="00511A6F"/>
    <w:rsid w:val="005B5C09"/>
    <w:rsid w:val="0067234C"/>
    <w:rsid w:val="006E0BDA"/>
    <w:rsid w:val="006F66FF"/>
    <w:rsid w:val="0073271C"/>
    <w:rsid w:val="0076646C"/>
    <w:rsid w:val="00783DFF"/>
    <w:rsid w:val="007A42AF"/>
    <w:rsid w:val="007B4779"/>
    <w:rsid w:val="007E6643"/>
    <w:rsid w:val="00865417"/>
    <w:rsid w:val="008B2F01"/>
    <w:rsid w:val="008B4C99"/>
    <w:rsid w:val="008C59DF"/>
    <w:rsid w:val="008E6A5B"/>
    <w:rsid w:val="00913217"/>
    <w:rsid w:val="00936040"/>
    <w:rsid w:val="0095545A"/>
    <w:rsid w:val="00985225"/>
    <w:rsid w:val="009B2A6A"/>
    <w:rsid w:val="009B60ED"/>
    <w:rsid w:val="009C68EA"/>
    <w:rsid w:val="00AD2496"/>
    <w:rsid w:val="00AD4015"/>
    <w:rsid w:val="00B61847"/>
    <w:rsid w:val="00B838D5"/>
    <w:rsid w:val="00BE26EE"/>
    <w:rsid w:val="00C273E2"/>
    <w:rsid w:val="00C477C9"/>
    <w:rsid w:val="00C76836"/>
    <w:rsid w:val="00C92C0E"/>
    <w:rsid w:val="00CE54C5"/>
    <w:rsid w:val="00CE6850"/>
    <w:rsid w:val="00CF19E1"/>
    <w:rsid w:val="00D030CA"/>
    <w:rsid w:val="00D30F44"/>
    <w:rsid w:val="00D37896"/>
    <w:rsid w:val="00D917CC"/>
    <w:rsid w:val="00E04A7B"/>
    <w:rsid w:val="00EB26A1"/>
    <w:rsid w:val="00F2154B"/>
    <w:rsid w:val="00F715CB"/>
    <w:rsid w:val="00F817E0"/>
    <w:rsid w:val="00FA3011"/>
    <w:rsid w:val="00FF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D18295"/>
  <w15:chartTrackingRefBased/>
  <w15:docId w15:val="{18B236AE-7743-4A22-BF01-DDD4242FB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F715CB"/>
  </w:style>
  <w:style w:type="paragraph" w:styleId="a5">
    <w:name w:val="footer"/>
    <w:basedOn w:val="a"/>
    <w:link w:val="a6"/>
    <w:uiPriority w:val="99"/>
    <w:unhideWhenUsed/>
    <w:rsid w:val="00F715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F715CB"/>
  </w:style>
  <w:style w:type="paragraph" w:styleId="a7">
    <w:name w:val="Balloon Text"/>
    <w:basedOn w:val="a"/>
    <w:link w:val="a8"/>
    <w:uiPriority w:val="99"/>
    <w:semiHidden/>
    <w:unhideWhenUsed/>
    <w:rsid w:val="00474A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474A44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C68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9">
    <w:name w:val="Table Grid"/>
    <w:basedOn w:val="a1"/>
    <w:uiPriority w:val="39"/>
    <w:rsid w:val="00EB2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D30F4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99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AB054-5AD4-47FD-A8D8-B514B2046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2643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Semeshchuk</dc:creator>
  <cp:keywords/>
  <dc:description/>
  <cp:lastModifiedBy>Dudchenko</cp:lastModifiedBy>
  <cp:revision>3</cp:revision>
  <cp:lastPrinted>2024-12-17T08:44:00Z</cp:lastPrinted>
  <dcterms:created xsi:type="dcterms:W3CDTF">2024-12-17T09:29:00Z</dcterms:created>
  <dcterms:modified xsi:type="dcterms:W3CDTF">2024-12-17T12:05:00Z</dcterms:modified>
</cp:coreProperties>
</file>